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b/>
          <w:bCs w:val="0"/>
          <w:sz w:val="30"/>
          <w:szCs w:val="30"/>
        </w:rPr>
      </w:pPr>
      <w:bookmarkStart w:id="0" w:name="_GoBack"/>
      <w:r>
        <w:rPr>
          <w:rFonts w:hint="eastAsia" w:ascii="仿宋" w:hAnsi="仿宋" w:eastAsia="仿宋" w:cs="仿宋"/>
          <w:b/>
          <w:bCs w:val="0"/>
          <w:sz w:val="30"/>
          <w:szCs w:val="30"/>
        </w:rPr>
        <w:t>附件1</w:t>
      </w:r>
    </w:p>
    <w:bookmarkEnd w:id="0"/>
    <w:p>
      <w:pPr>
        <w:widowControl/>
        <w:jc w:val="center"/>
        <w:rPr>
          <w:rFonts w:ascii="仿宋" w:hAnsi="仿宋" w:eastAsia="仿宋" w:cs="仿宋"/>
          <w:b/>
          <w:bCs/>
          <w:sz w:val="30"/>
          <w:szCs w:val="30"/>
        </w:rPr>
      </w:pPr>
      <w:r>
        <w:rPr>
          <w:rFonts w:hint="eastAsia" w:ascii="仿宋" w:hAnsi="仿宋" w:eastAsia="仿宋" w:cs="仿宋"/>
          <w:b/>
          <w:bCs/>
          <w:sz w:val="30"/>
          <w:szCs w:val="30"/>
        </w:rPr>
        <w:t>第二届全国社会保障优秀科研成果奖评选实施办法</w:t>
      </w:r>
    </w:p>
    <w:p>
      <w:pPr>
        <w:spacing w:line="360" w:lineRule="auto"/>
        <w:jc w:val="center"/>
        <w:rPr>
          <w:rFonts w:ascii="仿宋_GB2312" w:hAnsi="宋体" w:eastAsia="仿宋_GB2312"/>
          <w:b/>
          <w:sz w:val="30"/>
          <w:szCs w:val="30"/>
        </w:rPr>
      </w:pPr>
      <w:r>
        <w:rPr>
          <w:rFonts w:ascii="仿宋_GB2312" w:hAnsi="宋体" w:eastAsia="仿宋_GB2312"/>
          <w:b/>
          <w:sz w:val="30"/>
          <w:szCs w:val="30"/>
        </w:rPr>
        <w:t>（201</w:t>
      </w:r>
      <w:r>
        <w:rPr>
          <w:rFonts w:hint="eastAsia" w:ascii="仿宋_GB2312" w:hAnsi="宋体" w:eastAsia="仿宋_GB2312"/>
          <w:b/>
          <w:sz w:val="30"/>
          <w:szCs w:val="30"/>
        </w:rPr>
        <w:t>9</w:t>
      </w:r>
      <w:r>
        <w:rPr>
          <w:rFonts w:ascii="仿宋_GB2312" w:hAnsi="宋体" w:eastAsia="仿宋_GB2312"/>
          <w:b/>
          <w:sz w:val="30"/>
          <w:szCs w:val="30"/>
        </w:rPr>
        <w:t>年2月2</w:t>
      </w:r>
      <w:r>
        <w:rPr>
          <w:rFonts w:hint="eastAsia" w:ascii="仿宋_GB2312" w:hAnsi="宋体" w:eastAsia="仿宋_GB2312"/>
          <w:b/>
          <w:sz w:val="30"/>
          <w:szCs w:val="30"/>
        </w:rPr>
        <w:t>3</w:t>
      </w:r>
      <w:r>
        <w:rPr>
          <w:rFonts w:ascii="仿宋_GB2312" w:hAnsi="宋体" w:eastAsia="仿宋_GB2312"/>
          <w:b/>
          <w:sz w:val="30"/>
          <w:szCs w:val="30"/>
        </w:rPr>
        <w:t>日首届常务理事会第</w:t>
      </w:r>
      <w:r>
        <w:rPr>
          <w:rFonts w:hint="eastAsia" w:ascii="仿宋_GB2312" w:hAnsi="宋体" w:eastAsia="仿宋_GB2312"/>
          <w:b/>
          <w:sz w:val="30"/>
          <w:szCs w:val="30"/>
        </w:rPr>
        <w:t>九</w:t>
      </w:r>
      <w:r>
        <w:rPr>
          <w:rFonts w:ascii="仿宋_GB2312" w:hAnsi="宋体" w:eastAsia="仿宋_GB2312"/>
          <w:b/>
          <w:sz w:val="30"/>
          <w:szCs w:val="30"/>
        </w:rPr>
        <w:t>次会议通过）</w:t>
      </w:r>
    </w:p>
    <w:p>
      <w:pPr>
        <w:spacing w:line="360" w:lineRule="auto"/>
        <w:rPr>
          <w:rFonts w:ascii="仿宋" w:hAnsi="仿宋" w:eastAsia="仿宋"/>
          <w:sz w:val="28"/>
          <w:szCs w:val="28"/>
        </w:rPr>
      </w:pPr>
    </w:p>
    <w:p>
      <w:pPr>
        <w:spacing w:line="360" w:lineRule="auto"/>
        <w:ind w:firstLine="560" w:firstLineChars="200"/>
        <w:rPr>
          <w:rFonts w:ascii="仿宋" w:hAnsi="仿宋" w:eastAsia="仿宋"/>
          <w:sz w:val="28"/>
          <w:szCs w:val="28"/>
        </w:rPr>
      </w:pPr>
      <w:r>
        <w:rPr>
          <w:rFonts w:ascii="仿宋" w:hAnsi="仿宋" w:eastAsia="仿宋"/>
          <w:sz w:val="28"/>
          <w:szCs w:val="28"/>
        </w:rPr>
        <w:t>为推动社会保障科学研究，促进我国社会保障学科繁荣发展，提高社会保障决策咨询服务能力，根据本会章程第三条、第七条和首届常务理事会第一次会议通过的《中国社会保障学会奖励办法》，特制定中国社会保障学会第</w:t>
      </w:r>
      <w:r>
        <w:rPr>
          <w:rFonts w:hint="eastAsia" w:ascii="仿宋" w:hAnsi="仿宋" w:eastAsia="仿宋"/>
          <w:sz w:val="28"/>
          <w:szCs w:val="28"/>
        </w:rPr>
        <w:t>二</w:t>
      </w:r>
      <w:r>
        <w:rPr>
          <w:rFonts w:ascii="仿宋" w:hAnsi="仿宋" w:eastAsia="仿宋"/>
          <w:sz w:val="28"/>
          <w:szCs w:val="28"/>
        </w:rPr>
        <w:t>届优秀科研成果奖评选实施办法。该奖项是本领域的专业奖项，代表中国社会保障领域学术与政策研究的专业水准。</w:t>
      </w:r>
    </w:p>
    <w:p>
      <w:pPr>
        <w:spacing w:line="360" w:lineRule="auto"/>
        <w:ind w:firstLine="561" w:firstLineChars="200"/>
        <w:rPr>
          <w:rFonts w:ascii="仿宋" w:hAnsi="仿宋" w:eastAsia="仿宋"/>
          <w:b/>
          <w:sz w:val="28"/>
          <w:szCs w:val="28"/>
        </w:rPr>
      </w:pPr>
      <w:r>
        <w:rPr>
          <w:rFonts w:ascii="仿宋" w:hAnsi="仿宋" w:eastAsia="仿宋"/>
          <w:b/>
          <w:sz w:val="28"/>
          <w:szCs w:val="28"/>
        </w:rPr>
        <w:t>（一）奖励范围</w:t>
      </w:r>
    </w:p>
    <w:p>
      <w:pPr>
        <w:spacing w:line="360" w:lineRule="auto"/>
        <w:ind w:firstLine="560" w:firstLineChars="200"/>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5</w:t>
      </w:r>
      <w:r>
        <w:rPr>
          <w:rFonts w:ascii="仿宋" w:hAnsi="仿宋" w:eastAsia="仿宋"/>
          <w:sz w:val="28"/>
          <w:szCs w:val="28"/>
        </w:rPr>
        <w:t>年1月1日至201</w:t>
      </w:r>
      <w:r>
        <w:rPr>
          <w:rFonts w:hint="eastAsia" w:ascii="仿宋" w:hAnsi="仿宋" w:eastAsia="仿宋"/>
          <w:sz w:val="28"/>
          <w:szCs w:val="28"/>
        </w:rPr>
        <w:t>7</w:t>
      </w:r>
      <w:r>
        <w:rPr>
          <w:rFonts w:ascii="仿宋" w:hAnsi="仿宋" w:eastAsia="仿宋"/>
          <w:sz w:val="28"/>
          <w:szCs w:val="28"/>
        </w:rPr>
        <w:t>年12月31日之间，公开出版或</w:t>
      </w:r>
      <w:r>
        <w:rPr>
          <w:rFonts w:hint="eastAsia" w:ascii="仿宋" w:hAnsi="仿宋" w:eastAsia="仿宋"/>
          <w:sz w:val="28"/>
          <w:szCs w:val="28"/>
          <w:lang w:eastAsia="zh-CN"/>
        </w:rPr>
        <w:t>发表</w:t>
      </w:r>
      <w:r>
        <w:rPr>
          <w:rFonts w:ascii="仿宋" w:hAnsi="仿宋" w:eastAsia="仿宋"/>
          <w:sz w:val="28"/>
          <w:szCs w:val="28"/>
        </w:rPr>
        <w:t>的社会保障及相关领域（含社会救助、社会保险、社会福利、社会服务、优抚安置、慈善公益、职业福利及与之相关的商业保险等）的专著、论文和</w:t>
      </w:r>
      <w:r>
        <w:rPr>
          <w:rFonts w:hint="eastAsia" w:ascii="仿宋" w:hAnsi="仿宋" w:eastAsia="仿宋"/>
          <w:sz w:val="28"/>
          <w:szCs w:val="28"/>
          <w:lang w:eastAsia="zh-CN"/>
        </w:rPr>
        <w:t>被采纳的</w:t>
      </w:r>
      <w:r>
        <w:rPr>
          <w:rFonts w:ascii="仿宋" w:hAnsi="仿宋" w:eastAsia="仿宋"/>
          <w:sz w:val="28"/>
          <w:szCs w:val="28"/>
        </w:rPr>
        <w:t>决策咨询成果。</w:t>
      </w:r>
    </w:p>
    <w:p>
      <w:pPr>
        <w:spacing w:line="360" w:lineRule="auto"/>
        <w:ind w:firstLine="560" w:firstLineChars="200"/>
        <w:rPr>
          <w:rFonts w:ascii="仿宋" w:hAnsi="仿宋" w:eastAsia="仿宋"/>
          <w:sz w:val="28"/>
          <w:szCs w:val="28"/>
        </w:rPr>
      </w:pPr>
      <w:r>
        <w:rPr>
          <w:rFonts w:ascii="仿宋" w:hAnsi="仿宋" w:eastAsia="仿宋"/>
          <w:sz w:val="28"/>
          <w:szCs w:val="28"/>
        </w:rPr>
        <w:t>其中，决策咨询成果须有正省部级及以上党委、人大（限于立法相关成果）、政府或部门的采纳证明，或正省部级及以上现任领导或分管社会保障工作的副省部级现任领导的批示。</w:t>
      </w:r>
    </w:p>
    <w:p>
      <w:pPr>
        <w:spacing w:line="360" w:lineRule="auto"/>
        <w:ind w:firstLine="560" w:firstLineChars="200"/>
        <w:rPr>
          <w:rFonts w:ascii="仿宋" w:hAnsi="仿宋" w:eastAsia="仿宋"/>
          <w:sz w:val="28"/>
          <w:szCs w:val="28"/>
        </w:rPr>
      </w:pPr>
      <w:r>
        <w:rPr>
          <w:rFonts w:ascii="仿宋" w:hAnsi="仿宋" w:eastAsia="仿宋"/>
          <w:sz w:val="28"/>
          <w:szCs w:val="28"/>
        </w:rPr>
        <w:t>科研成果须无知识产权争议。</w:t>
      </w:r>
    </w:p>
    <w:p>
      <w:pPr>
        <w:numPr>
          <w:ilvl w:val="0"/>
          <w:numId w:val="1"/>
        </w:numPr>
        <w:spacing w:line="360" w:lineRule="auto"/>
        <w:ind w:firstLine="549" w:firstLineChars="196"/>
        <w:rPr>
          <w:rFonts w:ascii="仿宋" w:hAnsi="仿宋" w:eastAsia="仿宋"/>
          <w:b/>
          <w:sz w:val="28"/>
          <w:szCs w:val="28"/>
        </w:rPr>
      </w:pPr>
      <w:r>
        <w:rPr>
          <w:rFonts w:ascii="仿宋" w:hAnsi="仿宋" w:eastAsia="仿宋"/>
          <w:b/>
          <w:sz w:val="28"/>
          <w:szCs w:val="28"/>
        </w:rPr>
        <w:t>奖项设置</w:t>
      </w:r>
    </w:p>
    <w:p>
      <w:pPr>
        <w:numPr>
          <w:ilvl w:val="0"/>
          <w:numId w:val="2"/>
        </w:numPr>
        <w:spacing w:line="360" w:lineRule="auto"/>
        <w:ind w:firstLine="560" w:firstLineChars="200"/>
        <w:rPr>
          <w:rFonts w:hint="eastAsia" w:ascii="仿宋" w:hAnsi="仿宋" w:eastAsia="仿宋"/>
          <w:sz w:val="28"/>
          <w:szCs w:val="28"/>
        </w:rPr>
      </w:pPr>
      <w:r>
        <w:rPr>
          <w:rFonts w:ascii="仿宋" w:hAnsi="仿宋" w:eastAsia="仿宋"/>
          <w:sz w:val="28"/>
          <w:szCs w:val="28"/>
        </w:rPr>
        <w:t>学术成果奖。面向高质量论文和专著，设置一等奖、二等奖和优秀奖</w:t>
      </w:r>
      <w:r>
        <w:rPr>
          <w:rFonts w:hint="eastAsia" w:ascii="仿宋" w:hAnsi="仿宋" w:eastAsia="仿宋"/>
          <w:sz w:val="28"/>
          <w:szCs w:val="28"/>
        </w:rPr>
        <w:t>，特别重大的成果可设特等奖</w:t>
      </w:r>
      <w:r>
        <w:rPr>
          <w:rFonts w:ascii="仿宋" w:hAnsi="仿宋" w:eastAsia="仿宋"/>
          <w:sz w:val="28"/>
          <w:szCs w:val="28"/>
        </w:rPr>
        <w:t>。</w:t>
      </w:r>
      <w:r>
        <w:rPr>
          <w:rFonts w:hint="eastAsia" w:ascii="仿宋" w:hAnsi="仿宋" w:eastAsia="仿宋"/>
          <w:sz w:val="28"/>
          <w:szCs w:val="28"/>
        </w:rPr>
        <w:t>本次设奖项总数不超过30项，宁缺勿滥</w:t>
      </w:r>
      <w:r>
        <w:rPr>
          <w:rFonts w:hint="default" w:ascii="仿宋" w:hAnsi="仿宋" w:eastAsia="仿宋"/>
          <w:sz w:val="28"/>
          <w:szCs w:val="28"/>
        </w:rPr>
        <w:t>；</w:t>
      </w:r>
    </w:p>
    <w:p>
      <w:pPr>
        <w:numPr>
          <w:ilvl w:val="0"/>
          <w:numId w:val="2"/>
        </w:numPr>
        <w:spacing w:line="360" w:lineRule="auto"/>
        <w:ind w:firstLine="560" w:firstLineChars="200"/>
        <w:rPr>
          <w:rFonts w:ascii="仿宋" w:hAnsi="仿宋" w:eastAsia="仿宋"/>
          <w:sz w:val="28"/>
          <w:szCs w:val="28"/>
        </w:rPr>
      </w:pPr>
      <w:r>
        <w:rPr>
          <w:rFonts w:ascii="仿宋" w:hAnsi="仿宋" w:eastAsia="仿宋"/>
          <w:sz w:val="28"/>
          <w:szCs w:val="28"/>
        </w:rPr>
        <w:t>决策咨询奖。面向具有重要影响的决策咨询成果，设置一等奖、二等奖和优秀奖</w:t>
      </w:r>
      <w:r>
        <w:rPr>
          <w:rFonts w:hint="eastAsia" w:ascii="仿宋" w:hAnsi="仿宋" w:eastAsia="仿宋"/>
          <w:sz w:val="28"/>
          <w:szCs w:val="28"/>
        </w:rPr>
        <w:t>，特别重大的成果可设特等奖</w:t>
      </w:r>
      <w:r>
        <w:rPr>
          <w:rFonts w:ascii="仿宋" w:hAnsi="仿宋" w:eastAsia="仿宋"/>
          <w:sz w:val="28"/>
          <w:szCs w:val="28"/>
        </w:rPr>
        <w:t>。</w:t>
      </w:r>
      <w:r>
        <w:rPr>
          <w:rFonts w:hint="eastAsia" w:ascii="仿宋" w:hAnsi="仿宋" w:eastAsia="仿宋"/>
          <w:sz w:val="28"/>
          <w:szCs w:val="28"/>
        </w:rPr>
        <w:t>按照标准评审，宁缺勿滥</w:t>
      </w:r>
      <w:r>
        <w:rPr>
          <w:rFonts w:hint="default" w:ascii="仿宋" w:hAnsi="仿宋" w:eastAsia="仿宋"/>
          <w:sz w:val="28"/>
          <w:szCs w:val="28"/>
        </w:rPr>
        <w:t>。</w:t>
      </w:r>
    </w:p>
    <w:p>
      <w:pPr>
        <w:spacing w:line="360" w:lineRule="auto"/>
        <w:ind w:firstLine="549" w:firstLineChars="196"/>
        <w:rPr>
          <w:rFonts w:ascii="仿宋" w:hAnsi="仿宋" w:eastAsia="仿宋"/>
          <w:b/>
          <w:sz w:val="28"/>
          <w:szCs w:val="28"/>
        </w:rPr>
      </w:pPr>
      <w:r>
        <w:rPr>
          <w:rFonts w:ascii="仿宋" w:hAnsi="仿宋" w:eastAsia="仿宋"/>
          <w:b/>
          <w:sz w:val="28"/>
          <w:szCs w:val="28"/>
        </w:rPr>
        <w:t>（三）评奖程序</w:t>
      </w:r>
    </w:p>
    <w:p>
      <w:pPr>
        <w:spacing w:line="360" w:lineRule="auto"/>
        <w:ind w:firstLine="560" w:firstLineChars="200"/>
        <w:rPr>
          <w:rFonts w:ascii="仿宋" w:hAnsi="仿宋" w:eastAsia="仿宋"/>
          <w:sz w:val="28"/>
          <w:szCs w:val="28"/>
        </w:rPr>
      </w:pPr>
      <w:r>
        <w:rPr>
          <w:rFonts w:ascii="仿宋" w:hAnsi="仿宋" w:eastAsia="仿宋"/>
          <w:sz w:val="28"/>
          <w:szCs w:val="28"/>
        </w:rPr>
        <w:t>1.本人申请，并提供科研成果证明资料；</w:t>
      </w:r>
    </w:p>
    <w:p>
      <w:pPr>
        <w:spacing w:line="360" w:lineRule="auto"/>
        <w:ind w:firstLine="560" w:firstLineChars="200"/>
        <w:rPr>
          <w:rFonts w:ascii="仿宋" w:hAnsi="仿宋" w:eastAsia="仿宋"/>
          <w:sz w:val="28"/>
          <w:szCs w:val="28"/>
        </w:rPr>
      </w:pPr>
      <w:r>
        <w:rPr>
          <w:rFonts w:ascii="仿宋" w:hAnsi="仿宋" w:eastAsia="仿宋"/>
          <w:sz w:val="28"/>
          <w:szCs w:val="28"/>
        </w:rPr>
        <w:t>2.学会秘书处进行资格审核；</w:t>
      </w:r>
    </w:p>
    <w:p>
      <w:pPr>
        <w:spacing w:line="360" w:lineRule="auto"/>
        <w:ind w:firstLine="560" w:firstLineChars="200"/>
        <w:rPr>
          <w:rFonts w:ascii="仿宋" w:hAnsi="仿宋" w:eastAsia="仿宋"/>
          <w:sz w:val="28"/>
          <w:szCs w:val="28"/>
        </w:rPr>
      </w:pPr>
      <w:r>
        <w:rPr>
          <w:rFonts w:ascii="仿宋" w:hAnsi="仿宋" w:eastAsia="仿宋"/>
          <w:sz w:val="28"/>
          <w:szCs w:val="28"/>
        </w:rPr>
        <w:t>3.专家小组初评，</w:t>
      </w:r>
      <w:r>
        <w:rPr>
          <w:rFonts w:hint="eastAsia" w:ascii="仿宋" w:hAnsi="仿宋" w:eastAsia="仿宋"/>
          <w:sz w:val="28"/>
          <w:szCs w:val="28"/>
        </w:rPr>
        <w:t>并对候选成果进行学术不端检查</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4.学术委员会全体会议评议，并投票表决；</w:t>
      </w:r>
    </w:p>
    <w:p>
      <w:pPr>
        <w:spacing w:line="360" w:lineRule="auto"/>
        <w:ind w:firstLine="560" w:firstLineChars="200"/>
        <w:rPr>
          <w:rFonts w:ascii="仿宋" w:hAnsi="仿宋" w:eastAsia="仿宋"/>
          <w:sz w:val="28"/>
          <w:szCs w:val="28"/>
        </w:rPr>
      </w:pPr>
      <w:r>
        <w:rPr>
          <w:rFonts w:ascii="仿宋" w:hAnsi="仿宋" w:eastAsia="仿宋"/>
          <w:sz w:val="28"/>
          <w:szCs w:val="28"/>
        </w:rPr>
        <w:t>5.会长会议批准。</w:t>
      </w:r>
    </w:p>
    <w:p>
      <w:pPr>
        <w:spacing w:line="360" w:lineRule="auto"/>
        <w:ind w:firstLine="561" w:firstLineChars="200"/>
        <w:rPr>
          <w:rFonts w:ascii="仿宋" w:hAnsi="仿宋" w:eastAsia="仿宋"/>
          <w:b/>
          <w:sz w:val="28"/>
          <w:szCs w:val="28"/>
        </w:rPr>
      </w:pPr>
      <w:r>
        <w:rPr>
          <w:rFonts w:ascii="仿宋" w:hAnsi="仿宋" w:eastAsia="仿宋"/>
          <w:b/>
          <w:sz w:val="28"/>
          <w:szCs w:val="28"/>
        </w:rPr>
        <w:t>（四）奖励措施</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学会对获奖者颁发奖励证书，并对</w:t>
      </w:r>
      <w:r>
        <w:rPr>
          <w:rFonts w:hint="eastAsia" w:ascii="仿宋" w:hAnsi="仿宋" w:eastAsia="仿宋"/>
          <w:sz w:val="28"/>
          <w:szCs w:val="28"/>
        </w:rPr>
        <w:t>特等奖、</w:t>
      </w:r>
      <w:r>
        <w:rPr>
          <w:rFonts w:ascii="仿宋" w:hAnsi="仿宋" w:eastAsia="仿宋"/>
          <w:sz w:val="28"/>
          <w:szCs w:val="28"/>
        </w:rPr>
        <w:t>一等奖</w:t>
      </w:r>
      <w:r>
        <w:rPr>
          <w:rFonts w:hint="eastAsia" w:ascii="仿宋" w:hAnsi="仿宋" w:eastAsia="仿宋"/>
          <w:sz w:val="28"/>
          <w:szCs w:val="28"/>
        </w:rPr>
        <w:t>作者</w:t>
      </w:r>
      <w:r>
        <w:rPr>
          <w:rFonts w:ascii="仿宋" w:hAnsi="仿宋" w:eastAsia="仿宋"/>
          <w:sz w:val="28"/>
          <w:szCs w:val="28"/>
        </w:rPr>
        <w:t>给予物质奖励；在本会会刊、</w:t>
      </w:r>
      <w:r>
        <w:rPr>
          <w:rFonts w:hint="eastAsia" w:ascii="仿宋" w:hAnsi="仿宋" w:eastAsia="仿宋"/>
          <w:sz w:val="28"/>
          <w:szCs w:val="28"/>
        </w:rPr>
        <w:t>官网、公众微信号</w:t>
      </w:r>
      <w:r>
        <w:rPr>
          <w:rFonts w:ascii="仿宋" w:hAnsi="仿宋" w:eastAsia="仿宋"/>
          <w:sz w:val="28"/>
          <w:szCs w:val="28"/>
        </w:rPr>
        <w:t>公布获奖者名单；对获奖的成果进行推介。</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评奖活动不收取任何费用。</w:t>
      </w:r>
    </w:p>
    <w:p>
      <w:pPr>
        <w:spacing w:line="360" w:lineRule="auto"/>
        <w:ind w:firstLine="561" w:firstLineChars="200"/>
        <w:rPr>
          <w:rFonts w:ascii="仿宋" w:hAnsi="仿宋" w:eastAsia="仿宋"/>
          <w:b/>
          <w:sz w:val="28"/>
          <w:szCs w:val="28"/>
        </w:rPr>
      </w:pPr>
      <w:r>
        <w:rPr>
          <w:rFonts w:ascii="仿宋" w:hAnsi="仿宋" w:eastAsia="仿宋"/>
          <w:b/>
          <w:sz w:val="28"/>
          <w:szCs w:val="28"/>
        </w:rPr>
        <w:t>（五）时间安排</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w:t>
      </w:r>
      <w:r>
        <w:rPr>
          <w:rFonts w:ascii="仿宋" w:hAnsi="仿宋" w:eastAsia="仿宋"/>
          <w:sz w:val="28"/>
          <w:szCs w:val="28"/>
        </w:rPr>
        <w:t>年3月</w:t>
      </w:r>
      <w:r>
        <w:rPr>
          <w:rFonts w:hint="eastAsia" w:ascii="仿宋" w:hAnsi="仿宋" w:eastAsia="仿宋"/>
          <w:sz w:val="28"/>
          <w:szCs w:val="28"/>
        </w:rPr>
        <w:t>下</w:t>
      </w:r>
      <w:r>
        <w:rPr>
          <w:rFonts w:ascii="仿宋" w:hAnsi="仿宋" w:eastAsia="仿宋"/>
          <w:sz w:val="28"/>
          <w:szCs w:val="28"/>
        </w:rPr>
        <w:t>旬开始接受申报或推荐，</w:t>
      </w:r>
      <w:r>
        <w:rPr>
          <w:rFonts w:hint="eastAsia" w:ascii="仿宋" w:hAnsi="仿宋" w:eastAsia="仿宋"/>
          <w:sz w:val="28"/>
          <w:szCs w:val="28"/>
        </w:rPr>
        <w:t>5</w:t>
      </w:r>
      <w:r>
        <w:rPr>
          <w:rFonts w:ascii="仿宋" w:hAnsi="仿宋" w:eastAsia="仿宋"/>
          <w:sz w:val="28"/>
          <w:szCs w:val="28"/>
        </w:rPr>
        <w:t>月底截止。</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-6</w:t>
      </w:r>
      <w:r>
        <w:rPr>
          <w:rFonts w:ascii="仿宋" w:hAnsi="仿宋" w:eastAsia="仿宋"/>
          <w:sz w:val="28"/>
          <w:szCs w:val="28"/>
        </w:rPr>
        <w:t>月，学会秘书处进行申报资格和相关材料审核。</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7-8</w:t>
      </w:r>
      <w:r>
        <w:rPr>
          <w:rFonts w:ascii="仿宋" w:hAnsi="仿宋" w:eastAsia="仿宋"/>
          <w:sz w:val="28"/>
          <w:szCs w:val="28"/>
        </w:rPr>
        <w:t>月，专家小组初评，进行匿名评审推荐。</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9-10</w:t>
      </w:r>
      <w:r>
        <w:rPr>
          <w:rFonts w:ascii="仿宋" w:hAnsi="仿宋" w:eastAsia="仿宋"/>
          <w:sz w:val="28"/>
          <w:szCs w:val="28"/>
        </w:rPr>
        <w:t>月，举行学术委员会全体会议，集中审议、表决</w:t>
      </w:r>
      <w:r>
        <w:rPr>
          <w:rFonts w:hint="eastAsia" w:ascii="仿宋" w:hAnsi="仿宋" w:eastAsia="仿宋"/>
          <w:sz w:val="28"/>
          <w:szCs w:val="28"/>
        </w:rPr>
        <w:t>，确定拟获奖名单</w:t>
      </w:r>
      <w:r>
        <w:rPr>
          <w:rFonts w:ascii="仿宋" w:hAnsi="仿宋" w:eastAsia="仿宋"/>
          <w:sz w:val="28"/>
          <w:szCs w:val="28"/>
        </w:rPr>
        <w:t>。</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11-12月，</w:t>
      </w:r>
      <w:r>
        <w:rPr>
          <w:rFonts w:ascii="仿宋" w:hAnsi="仿宋" w:eastAsia="仿宋"/>
          <w:sz w:val="28"/>
          <w:szCs w:val="28"/>
        </w:rPr>
        <w:t>举行会长会议，</w:t>
      </w:r>
      <w:r>
        <w:rPr>
          <w:rFonts w:hint="eastAsia" w:ascii="仿宋" w:hAnsi="仿宋" w:eastAsia="仿宋"/>
          <w:sz w:val="28"/>
          <w:szCs w:val="28"/>
        </w:rPr>
        <w:t>审定</w:t>
      </w:r>
      <w:r>
        <w:rPr>
          <w:rFonts w:ascii="仿宋" w:hAnsi="仿宋" w:eastAsia="仿宋"/>
          <w:sz w:val="28"/>
          <w:szCs w:val="28"/>
        </w:rPr>
        <w:t>获奖名单，</w:t>
      </w:r>
      <w:r>
        <w:rPr>
          <w:rFonts w:hint="eastAsia" w:ascii="仿宋" w:hAnsi="仿宋" w:eastAsia="仿宋"/>
          <w:sz w:val="28"/>
          <w:szCs w:val="28"/>
        </w:rPr>
        <w:t>并</w:t>
      </w:r>
      <w:r>
        <w:rPr>
          <w:rFonts w:ascii="仿宋" w:hAnsi="仿宋" w:eastAsia="仿宋"/>
          <w:sz w:val="28"/>
          <w:szCs w:val="28"/>
        </w:rPr>
        <w:t>在学会官网上公示一个月。</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2020年2月，在</w:t>
      </w:r>
      <w:r>
        <w:rPr>
          <w:rFonts w:hint="eastAsia" w:ascii="仿宋" w:hAnsi="仿宋" w:eastAsia="仿宋"/>
          <w:sz w:val="28"/>
          <w:szCs w:val="28"/>
        </w:rPr>
        <w:t>第六届</w:t>
      </w:r>
      <w:r>
        <w:rPr>
          <w:rFonts w:ascii="仿宋" w:hAnsi="仿宋" w:eastAsia="仿宋"/>
          <w:sz w:val="28"/>
          <w:szCs w:val="28"/>
        </w:rPr>
        <w:t>全国社会保障学术大会上颁奖。</w:t>
      </w:r>
    </w:p>
    <w:p>
      <w:pPr>
        <w:rPr>
          <w:rFonts w:ascii="仿宋" w:hAnsi="仿宋" w:eastAsia="仿宋" w:cs="仿宋"/>
          <w:bCs/>
          <w:sz w:val="30"/>
          <w:szCs w:val="30"/>
        </w:rPr>
      </w:pPr>
    </w:p>
    <w:p>
      <w:pPr>
        <w:widowControl/>
        <w:jc w:val="left"/>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HYShuSongEr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HYShuSongEr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HYZhongHei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HYZhongDengXianKW"/>
    <w:panose1 w:val="02010600030101010101"/>
    <w:charset w:val="86"/>
    <w:family w:val="auto"/>
    <w:pitch w:val="default"/>
    <w:sig w:usb0="00000000" w:usb1="00000000" w:usb2="00000016" w:usb3="00000000" w:csb0="0004000F" w:csb1="00000000"/>
  </w:font>
  <w:font w:name="新宋体">
    <w:altName w:val="华文宋体"/>
    <w:panose1 w:val="02010609030101010101"/>
    <w:charset w:val="86"/>
    <w:family w:val="modern"/>
    <w:pitch w:val="default"/>
    <w:sig w:usb0="00000000" w:usb1="00000000" w:usb2="00000006" w:usb3="00000000" w:csb0="00040001" w:csb1="00000000"/>
  </w:font>
  <w:font w:name="仿宋_GB2312">
    <w:altName w:val="HYFangSongKW"/>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altName w:val="华文宋体"/>
    <w:panose1 w:val="02010600040101010101"/>
    <w:charset w:val="86"/>
    <w:family w:val="auto"/>
    <w:pitch w:val="default"/>
    <w:sig w:usb0="00000000" w:usb1="00000000" w:usb2="00000000" w:usb3="00000000" w:csb0="0004009F" w:csb1="DFD70000"/>
  </w:font>
  <w:font w:name="仿宋">
    <w:altName w:val="HYFangSongKW"/>
    <w:panose1 w:val="02010609060101010101"/>
    <w:charset w:val="86"/>
    <w:family w:val="modern"/>
    <w:pitch w:val="default"/>
    <w:sig w:usb0="00000000" w:usb1="00000000" w:usb2="00000016" w:usb3="00000000" w:csb0="00040001" w:csb1="00000000"/>
  </w:font>
  <w:font w:name="Times">
    <w:panose1 w:val="00000500000000020000"/>
    <w:charset w:val="00"/>
    <w:family w:val="roman"/>
    <w:pitch w:val="default"/>
    <w:sig w:usb0="E00002FF" w:usb1="5000205A" w:usb2="00000000" w:usb3="00000000" w:csb0="2000019F" w:csb1="4F010000"/>
  </w:font>
  <w:font w:name="HYZhongDengXianKW">
    <w:panose1 w:val="01010104010101010101"/>
    <w:charset w:val="86"/>
    <w:family w:val="auto"/>
    <w:pitch w:val="default"/>
    <w:sig w:usb0="800002BF" w:usb1="004F7CFA" w:usb2="00000000" w:usb3="00000000" w:csb0="00040001" w:csb1="00000000"/>
  </w:font>
  <w:font w:name="HYZhongHei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HYFangSongKW">
    <w:panose1 w:val="00020600040101010101"/>
    <w:charset w:val="86"/>
    <w:family w:val="auto"/>
    <w:pitch w:val="default"/>
    <w:sig w:usb0="A00002BF" w:usb1="18EF7CFA" w:usb2="00000016" w:usb3="00000000" w:csb0="00040000" w:csb1="00000000"/>
  </w:font>
  <w:font w:name="仿宋">
    <w:altName w:val="HYFangSongKW"/>
    <w:panose1 w:val="00000000000000000000"/>
    <w:charset w:val="00"/>
    <w:family w:val="auto"/>
    <w:pitch w:val="default"/>
    <w:sig w:usb0="00000000" w:usb1="00000000" w:usb2="00000000" w:usb3="00000000" w:csb0="00000000" w:csb1="00000000"/>
  </w:font>
  <w:font w:name="等线">
    <w:altName w:val="HYZhongDengXianKW"/>
    <w:panose1 w:val="00000000000000000000"/>
    <w:charset w:val="86"/>
    <w:family w:val="auto"/>
    <w:pitch w:val="default"/>
    <w:sig w:usb0="00000000" w:usb1="00000000" w:usb2="00000000" w:usb3="00000000" w:csb0="00000000" w:csb1="00000000"/>
  </w:font>
  <w:font w:name="等线">
    <w:altName w:val="HYZhongDengXian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0B41"/>
    <w:multiLevelType w:val="singleLevel"/>
    <w:tmpl w:val="5C920B41"/>
    <w:lvl w:ilvl="0" w:tentative="0">
      <w:start w:val="2"/>
      <w:numFmt w:val="chineseCounting"/>
      <w:suff w:val="nothing"/>
      <w:lvlText w:val="（%1）"/>
      <w:lvlJc w:val="left"/>
    </w:lvl>
  </w:abstractNum>
  <w:abstractNum w:abstractNumId="1">
    <w:nsid w:val="5C920B52"/>
    <w:multiLevelType w:val="singleLevel"/>
    <w:tmpl w:val="5C920B5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6F"/>
    <w:rsid w:val="00057FF9"/>
    <w:rsid w:val="0007756F"/>
    <w:rsid w:val="00091633"/>
    <w:rsid w:val="000A3EF1"/>
    <w:rsid w:val="00330E04"/>
    <w:rsid w:val="007A403D"/>
    <w:rsid w:val="007A64CA"/>
    <w:rsid w:val="00EC7655"/>
    <w:rsid w:val="345668C1"/>
    <w:rsid w:val="6FF21D7E"/>
    <w:rsid w:val="78CA0D20"/>
    <w:rsid w:val="78EE66FF"/>
    <w:rsid w:val="79A57E24"/>
    <w:rsid w:val="7BFD2706"/>
    <w:rsid w:val="CF7FDA6E"/>
    <w:rsid w:val="EFD590BF"/>
    <w:rsid w:val="FFFF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4"/>
    <w:qFormat/>
    <w:uiPriority w:val="0"/>
    <w:rPr>
      <w:rFonts w:hint="default" w:ascii="Times New Roman" w:hAnsi="Times New Roman" w:cs="Times New Roman"/>
      <w:color w:val="0000FF"/>
      <w:u w:val="single"/>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329</Words>
  <Characters>1880</Characters>
  <Lines>15</Lines>
  <Paragraphs>4</Paragraphs>
  <ScaleCrop>false</ScaleCrop>
  <LinksUpToDate>false</LinksUpToDate>
  <CharactersWithSpaces>2205</CharactersWithSpaces>
  <Application>WPS Office_1.0.0.1087_F1E327BC-269C-435d-A152-05C5408002CA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2019-03-20T17:10:00Z</dcterms:created>
  <dc:creator>caoss</dc:creator>
  <cp:lastModifiedBy>zzy</cp:lastModifiedBy>
  <cp:lastPrinted>2019-03-21T17:35:00Z</cp:lastPrinted>
  <dcterms:modified xsi:type="dcterms:W3CDTF">2019-03-20T14:39:38Z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2052-1.0.0.1087</vt:lpwstr>
  </property>
</Properties>
</file>